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CBCA" w14:textId="77777777" w:rsidR="00B87695" w:rsidRPr="005E37E4" w:rsidRDefault="00BE1FD4" w:rsidP="00B87695">
      <w:pPr>
        <w:jc w:val="center"/>
        <w:rPr>
          <w:rFonts w:ascii="Arial" w:hAnsi="Arial" w:cs="Arial"/>
          <w:b/>
          <w:sz w:val="32"/>
          <w:szCs w:val="32"/>
        </w:rPr>
      </w:pPr>
      <w:r w:rsidRPr="005E37E4">
        <w:rPr>
          <w:rFonts w:ascii="Arial" w:hAnsi="Arial" w:cs="Arial"/>
          <w:b/>
          <w:sz w:val="32"/>
          <w:szCs w:val="32"/>
        </w:rPr>
        <w:t>DECISION</w:t>
      </w:r>
      <w:r w:rsidR="00E270E5">
        <w:rPr>
          <w:rFonts w:ascii="Arial" w:hAnsi="Arial" w:cs="Arial"/>
          <w:b/>
          <w:sz w:val="32"/>
          <w:szCs w:val="32"/>
        </w:rPr>
        <w:t>S</w:t>
      </w:r>
      <w:r w:rsidR="00A12928">
        <w:rPr>
          <w:rFonts w:ascii="Arial" w:hAnsi="Arial" w:cs="Arial"/>
          <w:b/>
          <w:sz w:val="32"/>
          <w:szCs w:val="32"/>
        </w:rPr>
        <w:t xml:space="preserve"> </w:t>
      </w:r>
      <w:r w:rsidR="000173BF">
        <w:rPr>
          <w:rFonts w:ascii="Arial" w:hAnsi="Arial" w:cs="Arial"/>
          <w:b/>
          <w:sz w:val="32"/>
          <w:szCs w:val="32"/>
        </w:rPr>
        <w:t>DELEGATED TO OFFICERS</w:t>
      </w:r>
      <w:r w:rsidR="00A12928">
        <w:rPr>
          <w:rFonts w:ascii="Arial" w:hAnsi="Arial" w:cs="Arial"/>
          <w:b/>
          <w:sz w:val="32"/>
          <w:szCs w:val="32"/>
        </w:rPr>
        <w:t xml:space="preserve"> </w:t>
      </w:r>
    </w:p>
    <w:p w14:paraId="4340CBCD" w14:textId="77777777" w:rsidR="006F6326" w:rsidRDefault="006F6326" w:rsidP="008A22C6"/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3715"/>
        <w:gridCol w:w="6209"/>
      </w:tblGrid>
      <w:tr w:rsidR="006F6326" w14:paraId="4340CBD0" w14:textId="77777777" w:rsidTr="00E97024">
        <w:tc>
          <w:tcPr>
            <w:tcW w:w="3715" w:type="dxa"/>
          </w:tcPr>
          <w:p w14:paraId="4340CBCE" w14:textId="77777777" w:rsidR="003B1236" w:rsidRDefault="00854133" w:rsidP="00DB01D4">
            <w:pPr>
              <w:spacing w:before="120" w:after="120"/>
            </w:pPr>
            <w:r>
              <w:rPr>
                <w:rFonts w:ascii="Arial" w:hAnsi="Arial" w:cs="Arial"/>
                <w:b/>
              </w:rPr>
              <w:t>D</w:t>
            </w:r>
            <w:r w:rsidR="006F6326" w:rsidRPr="00BE1FD4">
              <w:rPr>
                <w:rFonts w:ascii="Arial" w:hAnsi="Arial" w:cs="Arial"/>
                <w:b/>
              </w:rPr>
              <w:t>ecision</w:t>
            </w:r>
            <w:r>
              <w:rPr>
                <w:rFonts w:ascii="Arial" w:hAnsi="Arial" w:cs="Arial"/>
                <w:b/>
              </w:rPr>
              <w:t xml:space="preserve"> title</w:t>
            </w:r>
            <w:r w:rsidR="00B87695">
              <w:rPr>
                <w:rFonts w:ascii="Arial" w:hAnsi="Arial" w:cs="Arial"/>
                <w:b/>
              </w:rPr>
              <w:t>:</w:t>
            </w:r>
            <w:r w:rsidR="005E37E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09" w:type="dxa"/>
          </w:tcPr>
          <w:p w14:paraId="63CD6003" w14:textId="1E01BD8A" w:rsidR="00B87695" w:rsidRDefault="000D31BF" w:rsidP="00960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Appointment of </w:t>
            </w:r>
            <w:r>
              <w:rPr>
                <w:rFonts w:ascii="Arial" w:hAnsi="Arial" w:cs="Arial"/>
              </w:rPr>
              <w:t>MLCS3</w:t>
            </w:r>
            <w:r w:rsidR="00D61C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 conduct</w:t>
            </w:r>
            <w:r w:rsidR="00356FD2">
              <w:rPr>
                <w:rFonts w:ascii="Arial" w:hAnsi="Arial" w:cs="Arial"/>
              </w:rPr>
              <w:t xml:space="preserve"> s</w:t>
            </w:r>
            <w:r w:rsidR="001D5DEF">
              <w:rPr>
                <w:rFonts w:ascii="Arial" w:hAnsi="Arial" w:cs="Arial"/>
              </w:rPr>
              <w:t xml:space="preserve">tock </w:t>
            </w:r>
            <w:r w:rsidR="00356FD2">
              <w:rPr>
                <w:rFonts w:ascii="Arial" w:hAnsi="Arial" w:cs="Arial"/>
              </w:rPr>
              <w:t>c</w:t>
            </w:r>
            <w:r w:rsidR="001D5DEF">
              <w:rPr>
                <w:rFonts w:ascii="Arial" w:hAnsi="Arial" w:cs="Arial"/>
              </w:rPr>
              <w:t xml:space="preserve">ondition </w:t>
            </w:r>
            <w:r w:rsidR="00356FD2">
              <w:rPr>
                <w:rFonts w:ascii="Arial" w:hAnsi="Arial" w:cs="Arial"/>
              </w:rPr>
              <w:t>s</w:t>
            </w:r>
            <w:r w:rsidR="001D5DEF">
              <w:rPr>
                <w:rFonts w:ascii="Arial" w:hAnsi="Arial" w:cs="Arial"/>
              </w:rPr>
              <w:t>urvey</w:t>
            </w:r>
            <w:r>
              <w:rPr>
                <w:rFonts w:ascii="Arial" w:hAnsi="Arial" w:cs="Arial"/>
              </w:rPr>
              <w:t>s</w:t>
            </w:r>
            <w:r w:rsidR="001D5DEF">
              <w:rPr>
                <w:rFonts w:ascii="Arial" w:hAnsi="Arial" w:cs="Arial"/>
              </w:rPr>
              <w:t xml:space="preserve"> for 5000 properties</w:t>
            </w:r>
            <w:r>
              <w:rPr>
                <w:rFonts w:ascii="Arial" w:hAnsi="Arial" w:cs="Arial"/>
              </w:rPr>
              <w:t xml:space="preserve"> within the </w:t>
            </w:r>
            <w:proofErr w:type="gramStart"/>
            <w:r>
              <w:rPr>
                <w:rFonts w:ascii="Arial" w:hAnsi="Arial" w:cs="Arial"/>
              </w:rPr>
              <w:t>HRA</w:t>
            </w:r>
            <w:proofErr w:type="gramEnd"/>
            <w:r w:rsidR="001D5DEF">
              <w:rPr>
                <w:rFonts w:ascii="Arial" w:hAnsi="Arial" w:cs="Arial"/>
              </w:rPr>
              <w:t xml:space="preserve"> </w:t>
            </w:r>
          </w:p>
          <w:p w14:paraId="4340CBCF" w14:textId="370206D8" w:rsidR="00356FD2" w:rsidRPr="00A96C08" w:rsidRDefault="00356FD2" w:rsidP="00960744">
            <w:pPr>
              <w:rPr>
                <w:rFonts w:ascii="Arial" w:hAnsi="Arial" w:cs="Arial"/>
              </w:rPr>
            </w:pPr>
          </w:p>
        </w:tc>
      </w:tr>
      <w:tr w:rsidR="006F6326" w14:paraId="4340CBD3" w14:textId="77777777" w:rsidTr="00E97024">
        <w:tc>
          <w:tcPr>
            <w:tcW w:w="3715" w:type="dxa"/>
          </w:tcPr>
          <w:p w14:paraId="4340CBD1" w14:textId="77777777" w:rsidR="006F6326" w:rsidRPr="00854133" w:rsidRDefault="00854133" w:rsidP="003B1236">
            <w:pPr>
              <w:spacing w:before="120" w:after="120"/>
              <w:rPr>
                <w:rFonts w:ascii="Arial" w:hAnsi="Arial" w:cs="Arial"/>
                <w:b/>
              </w:rPr>
            </w:pPr>
            <w:r w:rsidRPr="00854133">
              <w:rPr>
                <w:rFonts w:ascii="Arial" w:hAnsi="Arial" w:cs="Arial"/>
                <w:b/>
              </w:rPr>
              <w:t>Decision date:</w:t>
            </w:r>
          </w:p>
        </w:tc>
        <w:tc>
          <w:tcPr>
            <w:tcW w:w="6209" w:type="dxa"/>
          </w:tcPr>
          <w:p w14:paraId="4340CBD2" w14:textId="1EC6ADCB" w:rsidR="00263039" w:rsidRPr="00A96C08" w:rsidRDefault="00356FD2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April 2024</w:t>
            </w:r>
          </w:p>
        </w:tc>
      </w:tr>
      <w:tr w:rsidR="00854133" w14:paraId="4340CBD6" w14:textId="77777777" w:rsidTr="00E97024">
        <w:tc>
          <w:tcPr>
            <w:tcW w:w="3715" w:type="dxa"/>
          </w:tcPr>
          <w:p w14:paraId="4340CBD4" w14:textId="3B25D84C" w:rsidR="00854133" w:rsidRPr="00854133" w:rsidRDefault="00854133" w:rsidP="002611E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Source of delegation: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09" w:type="dxa"/>
          </w:tcPr>
          <w:p w14:paraId="70452200" w14:textId="77777777" w:rsidR="00356FD2" w:rsidRDefault="00356FD2" w:rsidP="00356FD2">
            <w:pPr>
              <w:rPr>
                <w:rFonts w:ascii="Arial" w:hAnsi="Arial" w:cs="Arial"/>
              </w:rPr>
            </w:pPr>
            <w:bookmarkStart w:id="0" w:name="_Hlk163652978"/>
            <w:r w:rsidRPr="002F6557">
              <w:rPr>
                <w:rFonts w:ascii="Arial" w:hAnsi="Arial" w:cs="Arial"/>
              </w:rPr>
              <w:t>This decision was delegated to officers</w:t>
            </w:r>
            <w:r>
              <w:rPr>
                <w:rFonts w:ascii="Arial" w:hAnsi="Arial" w:cs="Arial"/>
              </w:rPr>
              <w:t xml:space="preserve"> </w:t>
            </w:r>
            <w:r w:rsidRPr="002F6557">
              <w:rPr>
                <w:rFonts w:ascii="Arial" w:hAnsi="Arial" w:cs="Arial"/>
              </w:rPr>
              <w:t>under Part 4.4 of the Council’s Constitution:</w:t>
            </w:r>
            <w:r>
              <w:rPr>
                <w:rFonts w:ascii="Arial" w:hAnsi="Arial" w:cs="Arial"/>
              </w:rPr>
              <w:t xml:space="preserve"> a</w:t>
            </w:r>
            <w:r w:rsidRPr="002F6557">
              <w:rPr>
                <w:rFonts w:ascii="Arial" w:hAnsi="Arial" w:cs="Arial"/>
              </w:rPr>
              <w:t>ll ex</w:t>
            </w:r>
            <w:r>
              <w:rPr>
                <w:rFonts w:ascii="Arial" w:hAnsi="Arial" w:cs="Arial"/>
              </w:rPr>
              <w:t>ecutive functions except tho</w:t>
            </w:r>
            <w:r w:rsidRPr="002F655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</w:t>
            </w:r>
            <w:r w:rsidRPr="002F6557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 xml:space="preserve"> Part 4.5,</w:t>
            </w:r>
            <w:r w:rsidRPr="002F6557">
              <w:rPr>
                <w:rFonts w:ascii="Arial" w:hAnsi="Arial" w:cs="Arial"/>
              </w:rPr>
              <w:t xml:space="preserve"> 4.6</w:t>
            </w:r>
            <w:r>
              <w:rPr>
                <w:rFonts w:ascii="Arial" w:hAnsi="Arial" w:cs="Arial"/>
              </w:rPr>
              <w:t xml:space="preserve"> and 4.7</w:t>
            </w:r>
            <w:r w:rsidRPr="002F6557">
              <w:rPr>
                <w:rFonts w:ascii="Arial" w:hAnsi="Arial" w:cs="Arial"/>
              </w:rPr>
              <w:t xml:space="preserve"> are delegated to the</w:t>
            </w:r>
            <w:r>
              <w:rPr>
                <w:rFonts w:ascii="Arial" w:hAnsi="Arial" w:cs="Arial"/>
              </w:rPr>
              <w:t xml:space="preserve"> </w:t>
            </w:r>
            <w:r w:rsidRPr="002F6557">
              <w:rPr>
                <w:rFonts w:ascii="Arial" w:hAnsi="Arial" w:cs="Arial"/>
              </w:rPr>
              <w:t xml:space="preserve">officers in the senior </w:t>
            </w:r>
            <w:r>
              <w:rPr>
                <w:rFonts w:ascii="Arial" w:hAnsi="Arial" w:cs="Arial"/>
              </w:rPr>
              <w:t>m</w:t>
            </w:r>
            <w:r w:rsidRPr="002F6557">
              <w:rPr>
                <w:rFonts w:ascii="Arial" w:hAnsi="Arial" w:cs="Arial"/>
              </w:rPr>
              <w:t>anagement structure.</w:t>
            </w:r>
          </w:p>
          <w:bookmarkEnd w:id="0"/>
          <w:p w14:paraId="4340CBD5" w14:textId="77777777" w:rsidR="00E97024" w:rsidRPr="00E20A54" w:rsidRDefault="00E97024" w:rsidP="00E97024">
            <w:pPr>
              <w:rPr>
                <w:rFonts w:ascii="Arial" w:hAnsi="Arial" w:cs="Arial"/>
              </w:rPr>
            </w:pPr>
          </w:p>
        </w:tc>
      </w:tr>
      <w:tr w:rsidR="00B87695" w14:paraId="4340CBD9" w14:textId="77777777" w:rsidTr="00E97024">
        <w:tc>
          <w:tcPr>
            <w:tcW w:w="3715" w:type="dxa"/>
          </w:tcPr>
          <w:p w14:paraId="4340CBD7" w14:textId="35E7A99C" w:rsidR="003B1236" w:rsidRPr="00B87695" w:rsidRDefault="00854133" w:rsidP="00C678ED">
            <w:pPr>
              <w:spacing w:before="120" w:after="120"/>
              <w:rPr>
                <w:rFonts w:ascii="Arial" w:hAnsi="Arial" w:cs="Arial"/>
                <w:b/>
              </w:rPr>
            </w:pPr>
            <w:r w:rsidRPr="00BE1FD4">
              <w:rPr>
                <w:rFonts w:ascii="Arial" w:hAnsi="Arial" w:cs="Arial"/>
                <w:b/>
              </w:rPr>
              <w:t>What decision was made?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09" w:type="dxa"/>
          </w:tcPr>
          <w:p w14:paraId="483CF653" w14:textId="43D124D5" w:rsidR="006247C4" w:rsidRDefault="00C8574C" w:rsidP="00CB5E4F">
            <w:pPr>
              <w:rPr>
                <w:rFonts w:ascii="Arial" w:hAnsi="Arial" w:cs="Arial"/>
              </w:rPr>
            </w:pPr>
            <w:bookmarkStart w:id="1" w:name="_Hlk163653033"/>
            <w:r>
              <w:rPr>
                <w:rFonts w:ascii="Arial" w:hAnsi="Arial" w:cs="Arial"/>
              </w:rPr>
              <w:t xml:space="preserve">To award the </w:t>
            </w:r>
            <w:r w:rsidR="00356FD2">
              <w:rPr>
                <w:rFonts w:ascii="Arial" w:hAnsi="Arial" w:cs="Arial"/>
              </w:rPr>
              <w:t>C</w:t>
            </w:r>
            <w:r w:rsidR="00DB5CB7">
              <w:rPr>
                <w:rFonts w:ascii="Arial" w:hAnsi="Arial" w:cs="Arial"/>
              </w:rPr>
              <w:t>all</w:t>
            </w:r>
            <w:r w:rsidR="00F04CCE">
              <w:rPr>
                <w:rFonts w:ascii="Arial" w:hAnsi="Arial" w:cs="Arial"/>
              </w:rPr>
              <w:t xml:space="preserve">-off </w:t>
            </w:r>
            <w:r w:rsidR="00356FD2">
              <w:rPr>
                <w:rFonts w:ascii="Arial" w:hAnsi="Arial" w:cs="Arial"/>
              </w:rPr>
              <w:t>T</w:t>
            </w:r>
            <w:r w:rsidR="00F04CCE">
              <w:rPr>
                <w:rFonts w:ascii="Arial" w:hAnsi="Arial" w:cs="Arial"/>
              </w:rPr>
              <w:t xml:space="preserve">erms and </w:t>
            </w:r>
            <w:r w:rsidR="00356FD2">
              <w:rPr>
                <w:rFonts w:ascii="Arial" w:hAnsi="Arial" w:cs="Arial"/>
              </w:rPr>
              <w:t>C</w:t>
            </w:r>
            <w:r w:rsidR="00F04CCE">
              <w:rPr>
                <w:rFonts w:ascii="Arial" w:hAnsi="Arial" w:cs="Arial"/>
              </w:rPr>
              <w:t xml:space="preserve">onditions: Schedule 5 to Framework Agreement to </w:t>
            </w:r>
            <w:r w:rsidR="003137B0">
              <w:rPr>
                <w:rFonts w:ascii="Arial" w:hAnsi="Arial" w:cs="Arial"/>
              </w:rPr>
              <w:t xml:space="preserve">MLCS3 </w:t>
            </w:r>
            <w:r w:rsidR="00FE7D31">
              <w:rPr>
                <w:rFonts w:ascii="Arial" w:hAnsi="Arial" w:cs="Arial"/>
              </w:rPr>
              <w:t xml:space="preserve">to carry out </w:t>
            </w:r>
            <w:r w:rsidR="00E64D49">
              <w:rPr>
                <w:rFonts w:ascii="Arial" w:hAnsi="Arial" w:cs="Arial"/>
              </w:rPr>
              <w:t>stock</w:t>
            </w:r>
            <w:r w:rsidR="00FE7D31">
              <w:rPr>
                <w:rFonts w:ascii="Arial" w:hAnsi="Arial" w:cs="Arial"/>
              </w:rPr>
              <w:t xml:space="preserve"> condition surveys to 5000 properties for </w:t>
            </w:r>
            <w:r w:rsidR="00903B3B">
              <w:rPr>
                <w:rFonts w:ascii="Arial" w:hAnsi="Arial" w:cs="Arial"/>
              </w:rPr>
              <w:t xml:space="preserve">two years for the sum of </w:t>
            </w:r>
            <w:r w:rsidR="00FE7D31">
              <w:rPr>
                <w:rFonts w:ascii="Arial" w:hAnsi="Arial" w:cs="Arial"/>
              </w:rPr>
              <w:t>£200,000</w:t>
            </w:r>
            <w:r w:rsidR="000D31BF">
              <w:rPr>
                <w:rFonts w:ascii="Arial" w:hAnsi="Arial" w:cs="Arial"/>
              </w:rPr>
              <w:t xml:space="preserve">, </w:t>
            </w:r>
            <w:r w:rsidR="000D31BF">
              <w:rPr>
                <w:rFonts w:ascii="Arial" w:hAnsi="Arial" w:cs="Arial"/>
              </w:rPr>
              <w:t>following a mini-competition on the Building Surveying Services framework</w:t>
            </w:r>
            <w:r w:rsidR="000D31BF">
              <w:rPr>
                <w:rFonts w:ascii="Arial" w:hAnsi="Arial" w:cs="Arial"/>
              </w:rPr>
              <w:t>.</w:t>
            </w:r>
          </w:p>
          <w:bookmarkEnd w:id="1"/>
          <w:p w14:paraId="4340CBD8" w14:textId="28F4891D" w:rsidR="00356FD2" w:rsidRPr="00A96C08" w:rsidRDefault="00356FD2" w:rsidP="00CB5E4F">
            <w:pPr>
              <w:rPr>
                <w:rFonts w:ascii="Arial" w:hAnsi="Arial" w:cs="Arial"/>
              </w:rPr>
            </w:pPr>
          </w:p>
        </w:tc>
      </w:tr>
      <w:tr w:rsidR="00373F5D" w14:paraId="4340CBDC" w14:textId="77777777" w:rsidTr="00E97024">
        <w:tc>
          <w:tcPr>
            <w:tcW w:w="3715" w:type="dxa"/>
          </w:tcPr>
          <w:p w14:paraId="4340CBDA" w14:textId="1362A2E3" w:rsidR="00373F5D" w:rsidRPr="00373F5D" w:rsidRDefault="00373F5D" w:rsidP="00C678E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Purpose:</w:t>
            </w:r>
          </w:p>
        </w:tc>
        <w:tc>
          <w:tcPr>
            <w:tcW w:w="6209" w:type="dxa"/>
          </w:tcPr>
          <w:p w14:paraId="34DC9CEE" w14:textId="77777777" w:rsidR="00960744" w:rsidRDefault="00CF6AFA" w:rsidP="00960744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bookmarkStart w:id="2" w:name="_Hlk163653069"/>
            <w:r w:rsidRPr="0016144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Oxford City Council is looking to start stock condition surveys on the first </w:t>
            </w:r>
            <w:r w:rsidR="00356FD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tranche</w:t>
            </w:r>
            <w:r w:rsidRPr="0016144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of its HRA properties</w:t>
            </w:r>
            <w:r w:rsidR="00356FD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,</w:t>
            </w:r>
            <w:r w:rsidRPr="0016144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which will comprise approximately 5000 homes</w:t>
            </w:r>
            <w:r w:rsidR="00356FD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16144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  </w:t>
            </w:r>
            <w:r w:rsidR="00356FD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The</w:t>
            </w:r>
            <w:r w:rsidRPr="0016144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results</w:t>
            </w:r>
            <w:r w:rsidR="00356FD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of the surveys</w:t>
            </w:r>
            <w:r w:rsidRPr="0016144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are expected to support </w:t>
            </w:r>
            <w:r w:rsidR="00356FD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the Council’s</w:t>
            </w:r>
            <w:r w:rsidRPr="0016144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capital investment programmes which will include external, </w:t>
            </w:r>
            <w:proofErr w:type="gramStart"/>
            <w:r w:rsidRPr="0016144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internal</w:t>
            </w:r>
            <w:proofErr w:type="gramEnd"/>
            <w:r w:rsidRPr="0016144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and communal programmes of work</w:t>
            </w:r>
            <w:r w:rsidR="00356FD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;</w:t>
            </w:r>
            <w:r w:rsidRPr="0016144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 programme of carbon reduction measures</w:t>
            </w:r>
            <w:r w:rsidR="00356FD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;</w:t>
            </w:r>
            <w:r w:rsidRPr="0016144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and a programme of structural repairs.</w:t>
            </w:r>
          </w:p>
          <w:bookmarkEnd w:id="2"/>
          <w:p w14:paraId="4340CBDB" w14:textId="11CB071D" w:rsidR="00356FD2" w:rsidRPr="0016144F" w:rsidRDefault="00356FD2" w:rsidP="00960744">
            <w:pPr>
              <w:rPr>
                <w:rFonts w:ascii="Arial" w:hAnsi="Arial" w:cs="Arial"/>
              </w:rPr>
            </w:pPr>
          </w:p>
        </w:tc>
      </w:tr>
      <w:tr w:rsidR="00DC2E8D" w14:paraId="4340CBDF" w14:textId="77777777" w:rsidTr="00E97024">
        <w:tc>
          <w:tcPr>
            <w:tcW w:w="3715" w:type="dxa"/>
          </w:tcPr>
          <w:p w14:paraId="4340CBDD" w14:textId="4A0F9071" w:rsidR="00DC2E8D" w:rsidRPr="008E4629" w:rsidRDefault="008E4629" w:rsidP="00C678E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DC2E8D">
              <w:rPr>
                <w:rFonts w:ascii="Arial" w:hAnsi="Arial" w:cs="Arial"/>
                <w:b/>
              </w:rPr>
              <w:t xml:space="preserve">easons: </w:t>
            </w:r>
          </w:p>
        </w:tc>
        <w:tc>
          <w:tcPr>
            <w:tcW w:w="6209" w:type="dxa"/>
          </w:tcPr>
          <w:p w14:paraId="5A519D2D" w14:textId="77777777" w:rsidR="00757726" w:rsidRDefault="00127DC8" w:rsidP="00757726">
            <w:pPr>
              <w:rPr>
                <w:rFonts w:ascii="Arial" w:hAnsi="Arial" w:cs="Arial"/>
              </w:rPr>
            </w:pPr>
            <w:bookmarkStart w:id="3" w:name="_Hlk163653084"/>
            <w:r>
              <w:rPr>
                <w:rFonts w:ascii="Arial" w:hAnsi="Arial" w:cs="Arial"/>
              </w:rPr>
              <w:t>T</w:t>
            </w:r>
            <w:r w:rsidR="000D31BF">
              <w:rPr>
                <w:rFonts w:ascii="Arial" w:hAnsi="Arial" w:cs="Arial"/>
              </w:rPr>
              <w:t xml:space="preserve">he decision enables the </w:t>
            </w:r>
            <w:r w:rsidR="00162254">
              <w:rPr>
                <w:rFonts w:ascii="Arial" w:hAnsi="Arial" w:cs="Arial"/>
              </w:rPr>
              <w:t xml:space="preserve">stock condition surveys </w:t>
            </w:r>
            <w:r w:rsidR="00A8793C">
              <w:rPr>
                <w:rFonts w:ascii="Arial" w:hAnsi="Arial" w:cs="Arial"/>
              </w:rPr>
              <w:t>to be undertaken.</w:t>
            </w:r>
          </w:p>
          <w:bookmarkEnd w:id="3"/>
          <w:p w14:paraId="4340CBDE" w14:textId="7C8D786B" w:rsidR="00A8793C" w:rsidRPr="00A96C08" w:rsidRDefault="00A8793C" w:rsidP="00757726">
            <w:pPr>
              <w:rPr>
                <w:rFonts w:ascii="Arial" w:hAnsi="Arial" w:cs="Arial"/>
              </w:rPr>
            </w:pPr>
          </w:p>
        </w:tc>
      </w:tr>
      <w:tr w:rsidR="00B87695" w14:paraId="4340CBE2" w14:textId="77777777" w:rsidTr="00E97024">
        <w:tc>
          <w:tcPr>
            <w:tcW w:w="3715" w:type="dxa"/>
          </w:tcPr>
          <w:p w14:paraId="4340CBE0" w14:textId="52251ECF" w:rsidR="00B87695" w:rsidRPr="00B87695" w:rsidRDefault="00B87695" w:rsidP="00C678ED">
            <w:pPr>
              <w:spacing w:before="120" w:after="120"/>
              <w:rPr>
                <w:rFonts w:ascii="Arial" w:hAnsi="Arial" w:cs="Arial"/>
              </w:rPr>
            </w:pPr>
            <w:r w:rsidRPr="00B87695">
              <w:rPr>
                <w:rFonts w:ascii="Arial" w:hAnsi="Arial" w:cs="Arial"/>
                <w:b/>
              </w:rPr>
              <w:t xml:space="preserve">Decision made by: </w:t>
            </w:r>
          </w:p>
        </w:tc>
        <w:tc>
          <w:tcPr>
            <w:tcW w:w="6209" w:type="dxa"/>
          </w:tcPr>
          <w:p w14:paraId="4340CBE1" w14:textId="0B157C44" w:rsidR="00E97024" w:rsidRPr="00A96C08" w:rsidRDefault="00D109C0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Nerys Parry</w:t>
            </w:r>
            <w:r w:rsidR="00356FD2">
              <w:rPr>
                <w:rFonts w:ascii="Arial" w:hAnsi="Arial" w:cs="Arial"/>
              </w:rPr>
              <w:t>,</w:t>
            </w:r>
            <w:r w:rsidR="00C93B6F">
              <w:rPr>
                <w:rFonts w:ascii="Arial" w:hAnsi="Arial" w:cs="Arial"/>
              </w:rPr>
              <w:t xml:space="preserve"> </w:t>
            </w:r>
            <w:r w:rsidR="00326D70">
              <w:rPr>
                <w:rFonts w:ascii="Arial" w:hAnsi="Arial" w:cs="Arial"/>
              </w:rPr>
              <w:t xml:space="preserve">Head of </w:t>
            </w:r>
            <w:r w:rsidR="00C93B6F">
              <w:rPr>
                <w:rFonts w:ascii="Arial" w:hAnsi="Arial" w:cs="Arial"/>
              </w:rPr>
              <w:t xml:space="preserve">Housing Services </w:t>
            </w:r>
          </w:p>
        </w:tc>
      </w:tr>
      <w:tr w:rsidR="006F6326" w14:paraId="4340CBE5" w14:textId="77777777" w:rsidTr="00E97024">
        <w:tc>
          <w:tcPr>
            <w:tcW w:w="3715" w:type="dxa"/>
          </w:tcPr>
          <w:p w14:paraId="4340CBE3" w14:textId="751BCA48" w:rsidR="006F6326" w:rsidRDefault="006F6326" w:rsidP="00E270E5">
            <w:pPr>
              <w:spacing w:before="120" w:after="120"/>
              <w:rPr>
                <w:rFonts w:ascii="Arial" w:hAnsi="Arial" w:cs="Arial"/>
              </w:rPr>
            </w:pPr>
            <w:r w:rsidRPr="00BE1FD4">
              <w:rPr>
                <w:rFonts w:ascii="Arial" w:hAnsi="Arial" w:cs="Arial"/>
                <w:b/>
              </w:rPr>
              <w:t>Other options</w:t>
            </w:r>
            <w:r w:rsidR="00C6130E">
              <w:rPr>
                <w:rFonts w:ascii="Arial" w:hAnsi="Arial" w:cs="Arial"/>
                <w:b/>
              </w:rPr>
              <w:t xml:space="preserve"> </w:t>
            </w:r>
            <w:r w:rsidRPr="00BE1FD4">
              <w:rPr>
                <w:rFonts w:ascii="Arial" w:hAnsi="Arial" w:cs="Arial"/>
                <w:b/>
              </w:rPr>
              <w:t>considered</w:t>
            </w:r>
            <w:r w:rsidR="00AC589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09" w:type="dxa"/>
          </w:tcPr>
          <w:p w14:paraId="33CB3D1F" w14:textId="02DD2D30" w:rsidR="00263039" w:rsidRDefault="00A8793C" w:rsidP="00960744">
            <w:pPr>
              <w:rPr>
                <w:rFonts w:ascii="Arial" w:hAnsi="Arial" w:cs="Arial"/>
              </w:rPr>
            </w:pPr>
            <w:bookmarkStart w:id="4" w:name="_Hlk163653114"/>
            <w:r>
              <w:rPr>
                <w:rFonts w:ascii="Arial" w:hAnsi="Arial" w:cs="Arial"/>
              </w:rPr>
              <w:t>The option not to make the appointment was rejected as it would not allow the stock condition surveys to be undertaken.</w:t>
            </w:r>
            <w:bookmarkEnd w:id="4"/>
            <w:r>
              <w:rPr>
                <w:rFonts w:ascii="Arial" w:hAnsi="Arial" w:cs="Arial"/>
              </w:rPr>
              <w:t xml:space="preserve"> </w:t>
            </w:r>
            <w:r w:rsidR="00C93B6F">
              <w:rPr>
                <w:rFonts w:ascii="Arial" w:hAnsi="Arial" w:cs="Arial"/>
              </w:rPr>
              <w:t xml:space="preserve"> </w:t>
            </w:r>
          </w:p>
          <w:p w14:paraId="4340CBE4" w14:textId="17D07954" w:rsidR="00A8793C" w:rsidRPr="00A96C08" w:rsidRDefault="00A8793C" w:rsidP="00960744">
            <w:pPr>
              <w:rPr>
                <w:rFonts w:ascii="Arial" w:hAnsi="Arial" w:cs="Arial"/>
              </w:rPr>
            </w:pPr>
          </w:p>
        </w:tc>
      </w:tr>
      <w:tr w:rsidR="006F6326" w14:paraId="4340CBE8" w14:textId="77777777" w:rsidTr="00356FD2">
        <w:tc>
          <w:tcPr>
            <w:tcW w:w="3715" w:type="dxa"/>
          </w:tcPr>
          <w:p w14:paraId="4340CBE6" w14:textId="462C1940" w:rsidR="00C678ED" w:rsidRPr="00C678ED" w:rsidRDefault="006F6326" w:rsidP="00231385">
            <w:pPr>
              <w:spacing w:before="120"/>
              <w:rPr>
                <w:rFonts w:ascii="Arial" w:hAnsi="Arial" w:cs="Arial"/>
              </w:rPr>
            </w:pPr>
            <w:r w:rsidRPr="00335A9B">
              <w:rPr>
                <w:rFonts w:ascii="Arial" w:hAnsi="Arial" w:cs="Arial"/>
                <w:b/>
              </w:rPr>
              <w:t>Documents considered</w:t>
            </w:r>
            <w:r w:rsidR="00AC5899">
              <w:rPr>
                <w:rFonts w:ascii="Arial" w:hAnsi="Arial" w:cs="Arial"/>
                <w:b/>
              </w:rPr>
              <w:t>:</w:t>
            </w:r>
            <w:r w:rsidRPr="006F6326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209" w:type="dxa"/>
          </w:tcPr>
          <w:p w14:paraId="4340CBE7" w14:textId="187D694E" w:rsidR="006F6326" w:rsidRPr="00A96C08" w:rsidRDefault="00EE1606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</w:tr>
      <w:tr w:rsidR="006F6326" w14:paraId="4340CBEB" w14:textId="77777777" w:rsidTr="00E97024">
        <w:tc>
          <w:tcPr>
            <w:tcW w:w="3715" w:type="dxa"/>
          </w:tcPr>
          <w:p w14:paraId="4340CBE9" w14:textId="24D19813" w:rsidR="003505E0" w:rsidRDefault="003505E0" w:rsidP="00C251F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or Not Key</w:t>
            </w:r>
            <w:r w:rsidR="00AC589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09" w:type="dxa"/>
          </w:tcPr>
          <w:p w14:paraId="4340CBEA" w14:textId="34D18A2A" w:rsidR="006F6326" w:rsidRPr="00A96C08" w:rsidRDefault="00EE1606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 Key </w:t>
            </w:r>
          </w:p>
        </w:tc>
      </w:tr>
      <w:tr w:rsidR="006F6326" w14:paraId="4340CBEE" w14:textId="77777777" w:rsidTr="00E97024">
        <w:tc>
          <w:tcPr>
            <w:tcW w:w="3715" w:type="dxa"/>
          </w:tcPr>
          <w:p w14:paraId="4340CBEC" w14:textId="17C3D2FE" w:rsidR="006F6326" w:rsidRPr="008E4629" w:rsidRDefault="006F6326" w:rsidP="003B1236">
            <w:pPr>
              <w:spacing w:before="120" w:after="120"/>
              <w:rPr>
                <w:rFonts w:ascii="Arial" w:hAnsi="Arial" w:cs="Arial"/>
              </w:rPr>
            </w:pPr>
            <w:r w:rsidRPr="006F6326">
              <w:rPr>
                <w:rFonts w:ascii="Arial" w:hAnsi="Arial" w:cs="Arial"/>
                <w:b/>
              </w:rPr>
              <w:t xml:space="preserve">Wards </w:t>
            </w:r>
            <w:r w:rsidR="002B53D4">
              <w:rPr>
                <w:rFonts w:ascii="Arial" w:hAnsi="Arial" w:cs="Arial"/>
                <w:b/>
              </w:rPr>
              <w:t xml:space="preserve">significantly </w:t>
            </w:r>
            <w:r w:rsidRPr="006F6326">
              <w:rPr>
                <w:rFonts w:ascii="Arial" w:hAnsi="Arial" w:cs="Arial"/>
                <w:b/>
              </w:rPr>
              <w:t>affected</w:t>
            </w:r>
            <w:r w:rsidR="00B8769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09" w:type="dxa"/>
          </w:tcPr>
          <w:p w14:paraId="4340CBED" w14:textId="62A5D56E" w:rsidR="006F6326" w:rsidRPr="00A96C08" w:rsidRDefault="00EE1606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356FD2">
              <w:rPr>
                <w:rFonts w:ascii="Arial" w:hAnsi="Arial" w:cs="Arial"/>
              </w:rPr>
              <w:t>one</w:t>
            </w:r>
          </w:p>
        </w:tc>
      </w:tr>
      <w:tr w:rsidR="006F6326" w14:paraId="4340CBF1" w14:textId="77777777" w:rsidTr="00E97024">
        <w:tc>
          <w:tcPr>
            <w:tcW w:w="3715" w:type="dxa"/>
          </w:tcPr>
          <w:p w14:paraId="4340CBEF" w14:textId="0EF9CDBB" w:rsidR="006F6326" w:rsidRPr="006F6326" w:rsidRDefault="006F6326" w:rsidP="008E4629">
            <w:pPr>
              <w:spacing w:before="120" w:after="120"/>
              <w:rPr>
                <w:rFonts w:ascii="Arial" w:hAnsi="Arial" w:cs="Arial"/>
                <w:b/>
              </w:rPr>
            </w:pPr>
            <w:r w:rsidRPr="00BE1FD4">
              <w:rPr>
                <w:rFonts w:ascii="Arial" w:hAnsi="Arial" w:cs="Arial"/>
                <w:b/>
              </w:rPr>
              <w:t xml:space="preserve">Declared conflict of </w:t>
            </w:r>
            <w:r w:rsidRPr="00B87695">
              <w:rPr>
                <w:rFonts w:ascii="Arial" w:hAnsi="Arial" w:cs="Arial"/>
                <w:b/>
              </w:rPr>
              <w:t>interest</w:t>
            </w:r>
            <w:r w:rsidR="003B1236">
              <w:rPr>
                <w:rFonts w:ascii="Arial" w:hAnsi="Arial" w:cs="Arial"/>
                <w:b/>
              </w:rPr>
              <w:t>:</w:t>
            </w:r>
            <w:r w:rsidR="00B87695" w:rsidRPr="00B8769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09" w:type="dxa"/>
          </w:tcPr>
          <w:p w14:paraId="4340CBF0" w14:textId="3E05634D" w:rsidR="006F6326" w:rsidRPr="00A96C08" w:rsidRDefault="00EE1606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</w:tr>
      <w:tr w:rsidR="00B87695" w14:paraId="4340CBF6" w14:textId="77777777" w:rsidTr="00E97024">
        <w:tc>
          <w:tcPr>
            <w:tcW w:w="3715" w:type="dxa"/>
          </w:tcPr>
          <w:p w14:paraId="4340CBF2" w14:textId="77777777" w:rsidR="003505E0" w:rsidRDefault="003505E0" w:rsidP="00231385">
            <w:pPr>
              <w:spacing w:before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 xml:space="preserve">This form </w:t>
            </w:r>
            <w:r>
              <w:rPr>
                <w:rFonts w:ascii="Arial" w:hAnsi="Arial" w:cs="Arial"/>
                <w:b/>
              </w:rPr>
              <w:t xml:space="preserve">was </w:t>
            </w:r>
            <w:r w:rsidRPr="003505E0">
              <w:rPr>
                <w:rFonts w:ascii="Arial" w:hAnsi="Arial" w:cs="Arial"/>
                <w:b/>
              </w:rPr>
              <w:t xml:space="preserve">completed </w:t>
            </w:r>
            <w:r>
              <w:rPr>
                <w:rFonts w:ascii="Arial" w:hAnsi="Arial" w:cs="Arial"/>
                <w:b/>
              </w:rPr>
              <w:t>by</w:t>
            </w:r>
            <w:r w:rsidRPr="003505E0">
              <w:rPr>
                <w:rFonts w:ascii="Arial" w:hAnsi="Arial" w:cs="Arial"/>
                <w:b/>
              </w:rPr>
              <w:t>:</w:t>
            </w:r>
          </w:p>
          <w:p w14:paraId="4340CBF3" w14:textId="77777777" w:rsidR="003505E0" w:rsidRDefault="003505E0" w:rsidP="003505E0">
            <w:pPr>
              <w:spacing w:before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>Name &amp; title:</w:t>
            </w:r>
          </w:p>
          <w:p w14:paraId="4340CBF4" w14:textId="77777777" w:rsidR="003505E0" w:rsidRDefault="003505E0" w:rsidP="00AC5899">
            <w:pPr>
              <w:spacing w:before="120" w:after="120"/>
              <w:rPr>
                <w:rFonts w:ascii="Arial" w:hAnsi="Arial" w:cs="Arial"/>
                <w:b/>
              </w:rPr>
            </w:pPr>
            <w:r w:rsidRPr="003505E0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6209" w:type="dxa"/>
          </w:tcPr>
          <w:p w14:paraId="7D65885C" w14:textId="77777777" w:rsidR="00A8793C" w:rsidRDefault="00010244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 Chamberlain</w:t>
            </w:r>
          </w:p>
          <w:p w14:paraId="2645C076" w14:textId="5441DA6E" w:rsidR="00960744" w:rsidRDefault="00A8793C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 Engineering Contracts Manager</w:t>
            </w:r>
          </w:p>
          <w:p w14:paraId="46A8B3CF" w14:textId="77777777" w:rsidR="00010244" w:rsidRDefault="00010244" w:rsidP="008A22C6">
            <w:pPr>
              <w:rPr>
                <w:rFonts w:ascii="Arial" w:hAnsi="Arial" w:cs="Arial"/>
              </w:rPr>
            </w:pPr>
          </w:p>
          <w:p w14:paraId="4340CBF5" w14:textId="73D2AD93" w:rsidR="00010244" w:rsidRPr="00A96C08" w:rsidRDefault="00010244" w:rsidP="008A2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 March 2024 </w:t>
            </w:r>
          </w:p>
        </w:tc>
      </w:tr>
    </w:tbl>
    <w:p w14:paraId="4340CBF7" w14:textId="77777777" w:rsidR="002611EB" w:rsidRDefault="002611EB" w:rsidP="008A22C6"/>
    <w:p w14:paraId="4340CBF8" w14:textId="77777777" w:rsidR="005C60B2" w:rsidRDefault="005C60B2" w:rsidP="008A22C6"/>
    <w:p w14:paraId="34DE6974" w14:textId="77777777" w:rsidR="00C553F2" w:rsidRDefault="00C553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340CBF9" w14:textId="27EC7201" w:rsidR="008E4629" w:rsidRDefault="00DD4885" w:rsidP="002611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Approval</w:t>
      </w:r>
      <w:r w:rsidR="008E4629">
        <w:rPr>
          <w:rFonts w:ascii="Arial" w:hAnsi="Arial" w:cs="Arial"/>
          <w:b/>
        </w:rPr>
        <w:t xml:space="preserve"> checklist</w:t>
      </w:r>
      <w:r>
        <w:rPr>
          <w:rFonts w:ascii="Arial" w:hAnsi="Arial" w:cs="Arial"/>
          <w:b/>
        </w:rPr>
        <w:t xml:space="preserve"> </w:t>
      </w:r>
    </w:p>
    <w:p w14:paraId="4340CBFA" w14:textId="77777777" w:rsidR="005C60B2" w:rsidRPr="005C60B2" w:rsidRDefault="005C60B2" w:rsidP="005C60B2">
      <w:pPr>
        <w:rPr>
          <w:rFonts w:ascii="Arial" w:hAnsi="Arial" w:cs="Arial"/>
          <w:b/>
        </w:rPr>
      </w:pPr>
    </w:p>
    <w:tbl>
      <w:tblPr>
        <w:tblStyle w:val="TableGrid1"/>
        <w:tblW w:w="992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103"/>
        <w:gridCol w:w="1984"/>
      </w:tblGrid>
      <w:tr w:rsidR="005C60B2" w:rsidRPr="005C60B2" w14:paraId="4340CBFE" w14:textId="77777777" w:rsidTr="00FA34FE">
        <w:trPr>
          <w:trHeight w:val="516"/>
        </w:trPr>
        <w:tc>
          <w:tcPr>
            <w:tcW w:w="2836" w:type="dxa"/>
          </w:tcPr>
          <w:p w14:paraId="4340CBFB" w14:textId="77777777" w:rsidR="005C60B2" w:rsidRPr="005C60B2" w:rsidRDefault="005C60B2" w:rsidP="005C60B2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5C60B2">
              <w:rPr>
                <w:rFonts w:ascii="Arial" w:hAnsi="Arial" w:cs="Arial"/>
                <w:b/>
                <w:i/>
              </w:rPr>
              <w:t>Approver</w:t>
            </w:r>
          </w:p>
        </w:tc>
        <w:tc>
          <w:tcPr>
            <w:tcW w:w="5103" w:type="dxa"/>
            <w:vAlign w:val="center"/>
          </w:tcPr>
          <w:p w14:paraId="4340CBFC" w14:textId="77777777" w:rsidR="005C60B2" w:rsidRPr="005C60B2" w:rsidRDefault="005C60B2" w:rsidP="005C60B2">
            <w:pPr>
              <w:rPr>
                <w:rFonts w:ascii="Arial" w:hAnsi="Arial" w:cs="Arial"/>
                <w:b/>
                <w:i/>
              </w:rPr>
            </w:pPr>
            <w:r w:rsidRPr="005C60B2">
              <w:rPr>
                <w:rFonts w:ascii="Arial" w:hAnsi="Arial" w:cs="Arial"/>
                <w:b/>
                <w:i/>
              </w:rPr>
              <w:t>Name and job title</w:t>
            </w:r>
          </w:p>
        </w:tc>
        <w:tc>
          <w:tcPr>
            <w:tcW w:w="1984" w:type="dxa"/>
            <w:vAlign w:val="center"/>
          </w:tcPr>
          <w:p w14:paraId="4340CBFD" w14:textId="77777777" w:rsidR="005C60B2" w:rsidRPr="005C60B2" w:rsidRDefault="005C60B2" w:rsidP="005C60B2">
            <w:pPr>
              <w:rPr>
                <w:rFonts w:ascii="Arial" w:hAnsi="Arial" w:cs="Arial"/>
                <w:b/>
                <w:i/>
              </w:rPr>
            </w:pPr>
            <w:r w:rsidRPr="005C60B2">
              <w:rPr>
                <w:rFonts w:ascii="Arial" w:hAnsi="Arial" w:cs="Arial"/>
                <w:b/>
                <w:i/>
              </w:rPr>
              <w:t xml:space="preserve">Date </w:t>
            </w:r>
          </w:p>
        </w:tc>
      </w:tr>
      <w:tr w:rsidR="005C60B2" w:rsidRPr="005C60B2" w14:paraId="4340CC03" w14:textId="77777777" w:rsidTr="00FA34FE">
        <w:trPr>
          <w:trHeight w:val="516"/>
        </w:trPr>
        <w:tc>
          <w:tcPr>
            <w:tcW w:w="2836" w:type="dxa"/>
            <w:vAlign w:val="center"/>
          </w:tcPr>
          <w:p w14:paraId="4340CBFF" w14:textId="77777777" w:rsidR="005C60B2" w:rsidRDefault="005C60B2" w:rsidP="005C60B2">
            <w:pPr>
              <w:spacing w:before="120" w:after="120"/>
              <w:rPr>
                <w:rFonts w:ascii="Arial" w:hAnsi="Arial" w:cs="Arial"/>
                <w:b/>
              </w:rPr>
            </w:pPr>
            <w:r w:rsidRPr="005C60B2">
              <w:rPr>
                <w:rFonts w:ascii="Arial" w:hAnsi="Arial" w:cs="Arial"/>
                <w:b/>
              </w:rPr>
              <w:t xml:space="preserve">Decision maker </w:t>
            </w:r>
          </w:p>
          <w:p w14:paraId="4340CC00" w14:textId="497EE714" w:rsidR="005C60B2" w:rsidRPr="005C60B2" w:rsidRDefault="005C60B2" w:rsidP="005C60B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103" w:type="dxa"/>
            <w:vAlign w:val="center"/>
          </w:tcPr>
          <w:p w14:paraId="4D8C8FDF" w14:textId="77777777" w:rsidR="005C60B2" w:rsidRDefault="005F4EE4" w:rsidP="005C6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Nerys Parry</w:t>
            </w:r>
            <w:r w:rsidR="000D31B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Head of Housing Services</w:t>
            </w:r>
          </w:p>
          <w:p w14:paraId="4340CC01" w14:textId="24784ABC" w:rsidR="000D31BF" w:rsidRPr="005C60B2" w:rsidRDefault="000D31BF" w:rsidP="005C60B2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5D7D747" wp14:editId="346A957C">
                  <wp:extent cx="2543175" cy="828675"/>
                  <wp:effectExtent l="0" t="0" r="9525" b="9525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4340CC02" w14:textId="3AD9F4E7" w:rsidR="005C60B2" w:rsidRPr="005C60B2" w:rsidRDefault="000D31BF" w:rsidP="005C6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April 2024</w:t>
            </w:r>
          </w:p>
        </w:tc>
      </w:tr>
    </w:tbl>
    <w:p w14:paraId="4340CC04" w14:textId="77777777" w:rsidR="005C60B2" w:rsidRPr="005C60B2" w:rsidRDefault="005C60B2" w:rsidP="005C60B2">
      <w:pPr>
        <w:rPr>
          <w:rFonts w:ascii="Arial" w:hAnsi="Arial" w:cs="Arial"/>
        </w:rPr>
      </w:pPr>
    </w:p>
    <w:sectPr w:rsidR="005C60B2" w:rsidRPr="005C60B2" w:rsidSect="00532DF2">
      <w:footerReference w:type="default" r:id="rId12"/>
      <w:pgSz w:w="11906" w:h="16838"/>
      <w:pgMar w:top="993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CC50" w14:textId="77777777" w:rsidR="00D33F83" w:rsidRDefault="00D33F83" w:rsidP="00F11FD1">
      <w:r>
        <w:separator/>
      </w:r>
    </w:p>
  </w:endnote>
  <w:endnote w:type="continuationSeparator" w:id="0">
    <w:p w14:paraId="4340CC51" w14:textId="77777777" w:rsidR="00D33F83" w:rsidRDefault="00D33F83" w:rsidP="00F1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CC54" w14:textId="77777777" w:rsidR="00C6130E" w:rsidRPr="00F11FD1" w:rsidRDefault="00C6130E" w:rsidP="00F11FD1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CC4E" w14:textId="77777777" w:rsidR="00D33F83" w:rsidRDefault="00D33F83" w:rsidP="00F11FD1">
      <w:r>
        <w:separator/>
      </w:r>
    </w:p>
  </w:footnote>
  <w:footnote w:type="continuationSeparator" w:id="0">
    <w:p w14:paraId="4340CC4F" w14:textId="77777777" w:rsidR="00D33F83" w:rsidRDefault="00D33F83" w:rsidP="00F1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05BB8"/>
    <w:multiLevelType w:val="hybridMultilevel"/>
    <w:tmpl w:val="F9A03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015511"/>
    <w:multiLevelType w:val="hybridMultilevel"/>
    <w:tmpl w:val="3C0E5054"/>
    <w:lvl w:ilvl="0" w:tplc="FFA886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818E4"/>
    <w:multiLevelType w:val="multilevel"/>
    <w:tmpl w:val="9056D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FA30C0"/>
    <w:multiLevelType w:val="hybridMultilevel"/>
    <w:tmpl w:val="744E6C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2B6F75"/>
    <w:multiLevelType w:val="multilevel"/>
    <w:tmpl w:val="50CCF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E11320"/>
    <w:multiLevelType w:val="hybridMultilevel"/>
    <w:tmpl w:val="122C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20A62">
      <w:start w:val="2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26FC1"/>
    <w:multiLevelType w:val="hybridMultilevel"/>
    <w:tmpl w:val="0AD4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136">
    <w:abstractNumId w:val="5"/>
  </w:num>
  <w:num w:numId="2" w16cid:durableId="650016653">
    <w:abstractNumId w:val="0"/>
  </w:num>
  <w:num w:numId="3" w16cid:durableId="330719880">
    <w:abstractNumId w:val="6"/>
  </w:num>
  <w:num w:numId="4" w16cid:durableId="1577520496">
    <w:abstractNumId w:val="1"/>
  </w:num>
  <w:num w:numId="5" w16cid:durableId="919408108">
    <w:abstractNumId w:val="2"/>
  </w:num>
  <w:num w:numId="6" w16cid:durableId="308368333">
    <w:abstractNumId w:val="4"/>
  </w:num>
  <w:num w:numId="7" w16cid:durableId="731780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D4"/>
    <w:rsid w:val="00010244"/>
    <w:rsid w:val="000173BF"/>
    <w:rsid w:val="000445D4"/>
    <w:rsid w:val="0005774E"/>
    <w:rsid w:val="00070553"/>
    <w:rsid w:val="0008133A"/>
    <w:rsid w:val="000B4310"/>
    <w:rsid w:val="000D2140"/>
    <w:rsid w:val="000D31BF"/>
    <w:rsid w:val="000F4239"/>
    <w:rsid w:val="00127DC8"/>
    <w:rsid w:val="0016144F"/>
    <w:rsid w:val="00162254"/>
    <w:rsid w:val="00176557"/>
    <w:rsid w:val="001D5DEF"/>
    <w:rsid w:val="00207D2B"/>
    <w:rsid w:val="00231385"/>
    <w:rsid w:val="002611EB"/>
    <w:rsid w:val="00263039"/>
    <w:rsid w:val="002A07C9"/>
    <w:rsid w:val="002B53D4"/>
    <w:rsid w:val="002E61DD"/>
    <w:rsid w:val="003137B0"/>
    <w:rsid w:val="00326D70"/>
    <w:rsid w:val="00335A9B"/>
    <w:rsid w:val="003505E0"/>
    <w:rsid w:val="003547CD"/>
    <w:rsid w:val="00356FD2"/>
    <w:rsid w:val="00373F5D"/>
    <w:rsid w:val="003B1236"/>
    <w:rsid w:val="004000D7"/>
    <w:rsid w:val="00405321"/>
    <w:rsid w:val="00424A92"/>
    <w:rsid w:val="004A049B"/>
    <w:rsid w:val="004B1944"/>
    <w:rsid w:val="004D30A1"/>
    <w:rsid w:val="005023E7"/>
    <w:rsid w:val="00504E43"/>
    <w:rsid w:val="00532DF2"/>
    <w:rsid w:val="005C60B2"/>
    <w:rsid w:val="005C6416"/>
    <w:rsid w:val="005E37E4"/>
    <w:rsid w:val="005F4EE4"/>
    <w:rsid w:val="00616F3F"/>
    <w:rsid w:val="006247C4"/>
    <w:rsid w:val="006B1A11"/>
    <w:rsid w:val="006F6326"/>
    <w:rsid w:val="006F6731"/>
    <w:rsid w:val="007023AB"/>
    <w:rsid w:val="00757726"/>
    <w:rsid w:val="007908F4"/>
    <w:rsid w:val="007D270E"/>
    <w:rsid w:val="00801BEB"/>
    <w:rsid w:val="00804BF2"/>
    <w:rsid w:val="00834D72"/>
    <w:rsid w:val="00844D21"/>
    <w:rsid w:val="00854133"/>
    <w:rsid w:val="008613FB"/>
    <w:rsid w:val="008676E5"/>
    <w:rsid w:val="008900A7"/>
    <w:rsid w:val="00891B19"/>
    <w:rsid w:val="008A22C6"/>
    <w:rsid w:val="008E4629"/>
    <w:rsid w:val="00903B3B"/>
    <w:rsid w:val="00960744"/>
    <w:rsid w:val="00986C99"/>
    <w:rsid w:val="009F048F"/>
    <w:rsid w:val="009F6401"/>
    <w:rsid w:val="00A12928"/>
    <w:rsid w:val="00A253FE"/>
    <w:rsid w:val="00A8793C"/>
    <w:rsid w:val="00A96C08"/>
    <w:rsid w:val="00AA4C0E"/>
    <w:rsid w:val="00AC5899"/>
    <w:rsid w:val="00AD3066"/>
    <w:rsid w:val="00B15340"/>
    <w:rsid w:val="00B84320"/>
    <w:rsid w:val="00B87695"/>
    <w:rsid w:val="00B928EF"/>
    <w:rsid w:val="00BD4490"/>
    <w:rsid w:val="00BE1FD4"/>
    <w:rsid w:val="00BF240D"/>
    <w:rsid w:val="00C07F80"/>
    <w:rsid w:val="00C251F7"/>
    <w:rsid w:val="00C553F2"/>
    <w:rsid w:val="00C6130E"/>
    <w:rsid w:val="00C678ED"/>
    <w:rsid w:val="00C8574C"/>
    <w:rsid w:val="00C93B6F"/>
    <w:rsid w:val="00CB5E4F"/>
    <w:rsid w:val="00CD4BC9"/>
    <w:rsid w:val="00CE6085"/>
    <w:rsid w:val="00CF6AFA"/>
    <w:rsid w:val="00D109C0"/>
    <w:rsid w:val="00D33F83"/>
    <w:rsid w:val="00D543D9"/>
    <w:rsid w:val="00D61CB5"/>
    <w:rsid w:val="00DB01D4"/>
    <w:rsid w:val="00DB5CB7"/>
    <w:rsid w:val="00DC2E8D"/>
    <w:rsid w:val="00DD1A34"/>
    <w:rsid w:val="00DD4885"/>
    <w:rsid w:val="00DD51B2"/>
    <w:rsid w:val="00E127E3"/>
    <w:rsid w:val="00E2036C"/>
    <w:rsid w:val="00E20A54"/>
    <w:rsid w:val="00E270E5"/>
    <w:rsid w:val="00E64D49"/>
    <w:rsid w:val="00E97024"/>
    <w:rsid w:val="00E97F84"/>
    <w:rsid w:val="00EE1606"/>
    <w:rsid w:val="00F04CCE"/>
    <w:rsid w:val="00F11FD1"/>
    <w:rsid w:val="00F64579"/>
    <w:rsid w:val="00FD090B"/>
    <w:rsid w:val="00FD3A85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CBCA"/>
  <w15:docId w15:val="{C350AB86-6A49-4468-AB49-3C38AF4D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FD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FD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1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FD1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505E0"/>
    <w:pPr>
      <w:ind w:left="720"/>
      <w:contextualSpacing/>
    </w:pPr>
  </w:style>
  <w:style w:type="paragraph" w:customStyle="1" w:styleId="Default">
    <w:name w:val="Default"/>
    <w:rsid w:val="00891B19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C613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B2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F673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6F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F3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16F3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C6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A4C0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A4C0E"/>
  </w:style>
  <w:style w:type="character" w:customStyle="1" w:styleId="eop">
    <w:name w:val="eop"/>
    <w:basedOn w:val="DefaultParagraphFont"/>
    <w:rsid w:val="00AA4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7BD3E2B40EE4B99233DA35941ABA9" ma:contentTypeVersion="13" ma:contentTypeDescription="Create a new document." ma:contentTypeScope="" ma:versionID="3753deed2dcd7b610455b4fd9c0e3c90">
  <xsd:schema xmlns:xsd="http://www.w3.org/2001/XMLSchema" xmlns:xs="http://www.w3.org/2001/XMLSchema" xmlns:p="http://schemas.microsoft.com/office/2006/metadata/properties" xmlns:ns2="fdb8f1d2-729e-4e17-b922-d1876d49c6d9" xmlns:ns3="ca0c6f25-960b-4ad0-86ba-4742c0ecca1e" targetNamespace="http://schemas.microsoft.com/office/2006/metadata/properties" ma:root="true" ma:fieldsID="57be56f3673856d357bcc5d4eef83565" ns2:_="" ns3:_="">
    <xsd:import namespace="fdb8f1d2-729e-4e17-b922-d1876d49c6d9"/>
    <xsd:import namespace="ca0c6f25-960b-4ad0-86ba-4742c0ecc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f1d2-729e-4e17-b922-d1876d49c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c6f25-960b-4ad0-86ba-4742c0ecc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44EFC-F32B-466A-BEA4-9A944E55C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3ACC09-8B31-4F2B-B6B0-FED1C9C27D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9A4F1-C207-4444-908C-8B7F3EA29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8f1d2-729e-4e17-b922-d1876d49c6d9"/>
    <ds:schemaRef ds:uri="ca0c6f25-960b-4ad0-86ba-4742c0ecc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2DE83-4E8F-41D4-BB79-19F8A963A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Sarah.Claridge</dc:creator>
  <cp:lastModifiedBy>LUND Emma</cp:lastModifiedBy>
  <cp:revision>6</cp:revision>
  <cp:lastPrinted>2015-07-27T09:35:00Z</cp:lastPrinted>
  <dcterms:created xsi:type="dcterms:W3CDTF">2024-04-10T13:27:00Z</dcterms:created>
  <dcterms:modified xsi:type="dcterms:W3CDTF">2024-04-10T13:52:00Z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0x01010045D7BD3E2B40EE4B99233DA35941ABA9</vt:lpwstr>
  </property>
</Properties>
</file>